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wp="http://schemas.openxmlformats.org/drawingml/2006/wordprocessingDrawing" xmlns:a="http://schemas.openxmlformats.org/drawingml/2006/main" xmlns:pic="http://schemas.openxmlformats.org/drawingml/2006/picture" xmlns:r="http://schemas.openxmlformats.org/officeDocument/2006/relationships">
  <w:body>
    <w:p>
      <w:pPr>
        <w:jc w:val="right"/>
        <w:spacing w:before="0" w:after="120"/>
      </w:pPr>
      <w:r>
        <w:drawing>
          <wp:inline distT="0" distB="0" distL="0" distR="0">
            <wp:extent cx="711200" cy="711200"/>
            <wp:docPr id="1" name="Logo"/>
            <a:graphic xmlns:a="http://schemas.openxmlformats.org/drawingml/2006/main">
              <a:graphicData uri="http://schemas.openxmlformats.org/drawingml/2006/picture">
                <pic:pic xmlns:pic="http://schemas.openxmlformats.org/drawingml/2006/picture">
                  <pic:nvPicPr>
                    <pic:cNvPr id="1" name="Logo"/>
                    <pic:cNvPicPr/>
                  </pic:nvPicPr>
                  <pic:blipFill>
                    <a:blip xmlns:r="http://schemas.openxmlformats.org/officeDocument/2006/relationships" r:embed="rIdLogo"/>
                    <a:stretch>
                      <a:fillRect/>
                    </a:stretch>
                  </pic:blipFill>
                  <pic:spPr>
                    <a:xfrm>
                      <a:off x="0" y="0"/>
                      <a:ext cx="711200" cy="711200"/>
                    </a:xfrm>
                    <a:prstGeom prst="rect">
                      <a:avLst/>
                    </a:prstGeom>
                  </pic:spPr>
                </pic:pic>
              </a:graphicData>
            </a:graphic>
          </wp:inline>
        </w:drawing>
      </w:r>
    </w:p>
    <w:p>
      <w:pPr>
        <w:jc w:val="center"/>
        <w:spacing w:before="480" w:after="120"/>
      </w:pPr>
      <w:r>
        <w:rPr>
          <w:rFonts w:ascii="Georgia" w:hAnsi="Georgia"/>
          <w:b/>
          <w:sz w:val="56"/>
          <w:color w:val="1A1A18"/>
          <w:caps/>
        </w:rPr>
        <w:t xml:space="preserve">Loyal unto Ashes</w:t>
      </w:r>
    </w:p>
    <w:p>
      <w:pPr>
        <w:jc w:val="center"/>
        <w:spacing w:after="240"/>
      </w:pPr>
      <w:r>
        <w:rPr>
          <w:rFonts w:ascii="Georgia" w:hAnsi="Georgia"/>
          <w:i/>
          <w:sz w:val="26"/>
          <w:color w:val="A8842C"/>
        </w:rPr>
        <w:t xml:space="preserve">Raumschiff</w:t>
      </w:r>
    </w:p>
    <w:p>
      <w:r>
        <w:br w:type="page"/>
      </w:r>
    </w:p>
    <w:tbl>
      <w:tblPr>
        <w:tblStyle w:val="ACGTable"/>
        <w:tblW w:w="0" w:type="auto"/>
        <w:tblBorders>
          <w:top w:val="single" w:sz="4" w:color="C9BFA8"/>
          <w:left w:val="single" w:sz="4" w:color="C9BFA8"/>
          <w:bottom w:val="single" w:sz="4" w:color="C9BFA8"/>
          <w:right w:val="single" w:sz="4" w:color="C9BFA8"/>
          <w:insideH w:val="single" w:sz="4" w:color="C9BFA8"/>
          <w:insideV w:val="single" w:sz="4" w:color="C9BFA8"/>
        </w:tblBorders>
      </w:tblPr>
      <w:tblGrid>
        <w:gridCol w:w="4675"/>
        <w:gridCol w:w="4675"/>
      </w:tblGrid>
      <w:tr>
        <w:tc>
          <w:tcPr>
            <w:shd w:val="clear" w:fill="2B2622"/>
          </w:tcPr>
          <w:p>
            <w:r>
              <w:rPr>
                <w:b/>
                <w:color w:val="D9B65C"/>
                <w:sz w:val="19"/>
              </w:rPr>
              <w:t xml:space="preserve">Angabe</w:t>
            </w:r>
          </w:p>
        </w:tc>
        <w:tc>
          <w:tcPr>
            <w:shd w:val="clear" w:fill="2B2622"/>
          </w:tcPr>
          <w:p>
            <w:r>
              <w:rPr>
                <w:b/>
                <w:color w:val="D9B65C"/>
                <w:sz w:val="19"/>
              </w:rPr>
              <w:t xml:space="preserve">Wert</w:t>
            </w:r>
          </w:p>
        </w:tc>
      </w:tr>
      <w:tr>
        <w:tc>
          <w:p>
            <w:r>
              <w:rPr>
                <w:sz w:val="19"/>
              </w:rPr>
              <w:t xml:space="preserve">Klasse</w:t>
            </w:r>
          </w:p>
        </w:tc>
        <w:tc>
          <w:p>
            <w:r>
              <w:rPr>
                <w:sz w:val="19"/>
              </w:rPr>
              <w:t xml:space="preserve">Schlachtschiff</w:t>
            </w:r>
          </w:p>
        </w:tc>
      </w:tr>
      <w:tr>
        <w:tc>
          <w:p>
            <w:r>
              <w:rPr>
                <w:sz w:val="19"/>
              </w:rPr>
              <w:t xml:space="preserve">Werft</w:t>
            </w:r>
          </w:p>
        </w:tc>
        <w:tc>
          <w:p>
            <w:r>
              <w:rPr>
                <w:sz w:val="19"/>
              </w:rPr>
              <w:t xml:space="preserve">Abheilüng</w:t>
            </w:r>
          </w:p>
        </w:tc>
      </w:tr>
      <w:tr>
        <w:tc>
          <w:p>
            <w:r>
              <w:rPr>
                <w:sz w:val="19"/>
              </w:rPr>
              <w:t xml:space="preserve">Dienstalter</w:t>
            </w:r>
          </w:p>
        </w:tc>
        <w:tc>
          <w:p>
            <w:r>
              <w:rPr>
                <w:sz w:val="19"/>
              </w:rPr>
              <w:t xml:space="preserve">frisch aus der Werft</w:t>
            </w:r>
          </w:p>
        </w:tc>
      </w:tr>
      <w:tr>
        <w:tc>
          <w:p>
            <w:r>
              <w:rPr>
                <w:sz w:val="19"/>
              </w:rPr>
              <w:t xml:space="preserve">Besatzung</w:t>
            </w:r>
          </w:p>
        </w:tc>
        <w:tc>
          <w:p>
            <w:r>
              <w:rPr>
                <w:sz w:val="19"/>
              </w:rPr>
              <w:t xml:space="preserve">sechstausend Seelen</w:t>
            </w:r>
          </w:p>
        </w:tc>
      </w:tr>
      <w:tr>
        <w:tc>
          <w:p>
            <w:r>
              <w:rPr>
                <w:sz w:val="19"/>
              </w:rPr>
              <w:t xml:space="preserve">Verbleib</w:t>
            </w:r>
          </w:p>
        </w:tc>
        <w:tc>
          <w:p>
            <w:r>
              <w:rPr>
                <w:sz w:val="19"/>
              </w:rPr>
              <w:t xml:space="preserve">Flotte der Sons of Horus</w:t>
            </w:r>
          </w:p>
        </w:tc>
      </w:tr>
      <w:tr>
        <w:tc>
          <w:p>
            <w:r>
              <w:rPr>
                <w:sz w:val="19"/>
              </w:rPr>
              <w:t xml:space="preserve">Makel</w:t>
            </w:r>
          </w:p>
        </w:tc>
        <w:tc>
          <w:p>
            <w:r>
              <w:rPr>
                <w:sz w:val="19"/>
              </w:rPr>
              <w:t xml:space="preserve">ein Maschinengeist, der widerspricht</w:t>
            </w:r>
          </w:p>
        </w:tc>
      </w:tr>
    </w:tbl>
    <w:p>
      <w:pPr>
        <w:spacing w:after="120"/>
      </w:pPr>
    </w:p>
    <w:p>
      <w:pPr>
        <w:spacing w:after="160"/>
      </w:pPr>
      <w:r>
        <w:rPr>
          <w:sz w:val="21"/>
        </w:rPr>
        <w:t xml:space="preserve">Die Loyal unto Ashes verließ die Abheilüng drei Monate nach dem Vulkan. Die Docks waren noch warm von den Bränden, die Werftarbeiter tot oder in die neuen Maschinen eingebaut. Sie war das letzte Schiff, das die Werft vollendete, bevor die Chaos-Ingenieure ihre Arbeit abschlossen und alles hinter sich niederbrannten. Neu ist an ihr dennoch wenig. Der Kiel stammt aus der Hülle eines Kreuzers, der länger im Orbit trieb, als die Abheilüng besiedelt war. In den Spanten finden sich Weihesiegel des Mechanicus, die niemand entfernt hat, weil niemand sie anzufassen wagt.</w:t>
      </w:r>
    </w:p>
    <w:p>
      <w:pPr>
        <w:spacing w:after="160"/>
      </w:pPr>
      <w:r>
        <w:rPr>
          <w:sz w:val="21"/>
        </w:rPr>
        <w:t xml:space="preserve">Der Maschinengeist weigert sich, den Namen anzunehmen, unter dem man ihn registrierte. Auf Befehle antwortet er mit Verzögerungen, die Sekunden kosten, wenn Sekunden alles sind. Die Techno-Priester der Sons of Horus, denen das Schiff zugewiesen wurde, haben gelernt, ihre Befehle zweimal zu geben und keine Fragen zu stellen. Sie salben die Zielkogitatoren jeden Morgen mit Öl, das sie aus der Asche der Werft gewinnen. Ob das den Geist besänftigt oder verhöhnt, weiß keiner von ihnen.</w:t>
      </w:r>
    </w:p>
    <w:p>
      <w:pPr>
        <w:spacing w:after="160"/>
      </w:pPr>
      <w:r>
        <w:rPr>
          <w:sz w:val="21"/>
        </w:rPr>
        <w:t xml:space="preserve">An Bord leben sechstausend Seelen in Bereichen, die sich wie ein Labyrinth verschachteln. Die Werft veränderte ihre Konstruktionspläne, je mehr von ihr übrig war, und die neuen Decks folgen einer Logik, die niemand nachvollzieht. Ein Gang auf Deck neun endet an einer Kapelle ohne Tür. Die Geschützmannschaften der Steuerbordbatterie wurden dort geboren und haben das Schiff nie verlassen. Sie markieren ihre Wege mit Kreide, und die Markierungen sind am nächsten Morgen oft verschwunden.</w:t>
      </w:r>
    </w:p>
    <w:p>
      <w:pPr>
        <w:spacing w:after="160"/>
      </w:pPr>
      <w:r>
        <w:rPr>
          <w:sz w:val="21"/>
        </w:rPr>
        <w:t xml:space="preserve">Vor zwei Jahren beschädigte ein Warp-Sturm den Bug so schwer, dass seitdem ein konstantes Heulen durch die unteren Maschinenräume dringt. Es ist kein technischer Defekt, wie die Ingenieure berichten. Es ist der Maschinengeist, der trauert, oder protestiert, oder sich selbst beschädigt, um nicht gehorchen zu müssen. Seit jener Reise schläft die Besatzung der unteren Decks mit Wachs in den Ohren, und wer es herausnimmt, wird gemieden. Kinder lernen das Heulen von den Erwachsenen zu unterscheiden, wie man anderswo das Wetter liest.</w:t>
      </w:r>
    </w:p>
    <w:p>
      <w:pPr>
        <w:spacing w:after="160"/>
      </w:pPr>
      <w:r>
        <w:rPr>
          <w:sz w:val="21"/>
        </w:rPr>
        <w:t xml:space="preserve">Die Besatzung vertraut dem Schiff nicht mehr, und das Schiff, so scheint es, vertraut zurück.</w:t>
      </w:r>
    </w:p>
    <w:sectPr>
      <w:headerReference w:type="default" r:id="rIdHeader"/>
      <w:footerReference w:type="default" r:id="rIdFooter"/>
      <w:headerReference w:type="first" r:id="rIdHeaderFirst"/>
      <w:footerReference w:type="first" r:id="rIdFooterFirst"/>
      <w:pgSz w:w="11906" w:h="16838"/>
      <w:pgMar w:top="1417" w:right="1417" w:bottom="1417" w:left="1417" w:header="708" w:footer="708" w:gutter="0"/>
      <w:titlePg/>
    </w:sectPr>
  </w:body>
</w:document>
</file>

<file path=word/footer1.xml><?xml version="1.0" encoding="utf-8"?>
<w:ftr xmlns:w="http://schemas.openxmlformats.org/wordprocessingml/2006/main" xmlns:wp="http://schemas.openxmlformats.org/drawingml/2006/wordprocessingDrawing" xmlns:a="http://schemas.openxmlformats.org/drawingml/2006/main" xmlns:pic="http://schemas.openxmlformats.org/drawingml/2006/picture" xmlns:r="http://schemas.openxmlformats.org/officeDocument/2006/relationships">
  <w:p>
    <w:pPr>
      <w:jc w:val="center"/>
      <w:spacing w:before="0" w:after="0"/>
    </w:pPr>
    <w:r>
      <w:rPr>
        <w:rFonts w:ascii="Georgia" w:hAnsi="Georgia"/>
        <w:sz w:val="16"/>
        <w:color w:val="5B564C"/>
      </w:rPr>
      <w:t xml:space="preserve">ANVIL-OF-WAR · Kein offizielles Games Workshop Produkt. Fan-Projekt. · info@anvil-of-war.com · Seite </w:t>
    </w:r>
    <w:r>
      <w:rPr>
        <w:rFonts w:ascii="Georgia" w:hAnsi="Georgia"/>
        <w:sz w:val="16"/>
        <w:color w:val="5B564C"/>
      </w:rPr>
      <w:fldChar w:fldCharType="begin"/>
    </w:r>
    <w:r>
      <w:rPr>
        <w:rFonts w:ascii="Georgia" w:hAnsi="Georgia"/>
        <w:sz w:val="16"/>
        <w:color w:val="5B564C"/>
      </w:rPr>
      <w:instrText xml:space="preserve"> PAGE </w:instrText>
    </w:r>
    <w:r>
      <w:rPr>
        <w:rFonts w:ascii="Georgia" w:hAnsi="Georgia"/>
        <w:sz w:val="16"/>
        <w:color w:val="5B564C"/>
      </w:rPr>
      <w:fldChar w:fldCharType="separate"/>
    </w:r>
    <w:r>
      <w:rPr>
        <w:rFonts w:ascii="Georgia" w:hAnsi="Georgia"/>
        <w:sz w:val="16"/>
        <w:color w:val="5B564C"/>
      </w:rPr>
      <w:t>1</w:t>
    </w:r>
    <w:r>
      <w:rPr>
        <w:rFonts w:ascii="Georgia" w:hAnsi="Georgia"/>
        <w:sz w:val="16"/>
        <w:color w:val="5B564C"/>
      </w:rPr>
      <w:fldChar w:fldCharType="end"/>
    </w:r>
    <w:r>
      <w:rPr>
        <w:rFonts w:ascii="Georgia" w:hAnsi="Georgia"/>
        <w:sz w:val="16"/>
        <w:color w:val="5B564C"/>
      </w:rPr>
      <w:t xml:space="preserve"> von </w:t>
    </w:r>
    <w:r>
      <w:rPr>
        <w:rFonts w:ascii="Georgia" w:hAnsi="Georgia"/>
        <w:sz w:val="16"/>
        <w:color w:val="5B564C"/>
      </w:rPr>
      <w:fldChar w:fldCharType="begin"/>
    </w:r>
    <w:r>
      <w:rPr>
        <w:rFonts w:ascii="Georgia" w:hAnsi="Georgia"/>
        <w:sz w:val="16"/>
        <w:color w:val="5B564C"/>
      </w:rPr>
      <w:instrText xml:space="preserve"> NUMPAGES </w:instrText>
    </w:r>
    <w:r>
      <w:rPr>
        <w:rFonts w:ascii="Georgia" w:hAnsi="Georgia"/>
        <w:sz w:val="16"/>
        <w:color w:val="5B564C"/>
      </w:rPr>
      <w:fldChar w:fldCharType="separate"/>
    </w:r>
    <w:r>
      <w:rPr>
        <w:rFonts w:ascii="Georgia" w:hAnsi="Georgia"/>
        <w:sz w:val="16"/>
        <w:color w:val="5B564C"/>
      </w:rPr>
      <w:t>1</w:t>
    </w:r>
    <w:r>
      <w:rPr>
        <w:rFonts w:ascii="Georgia" w:hAnsi="Georgia"/>
        <w:sz w:val="16"/>
        <w:color w:val="5B564C"/>
      </w:rPr>
      <w:fldChar w:fldCharType="end"/>
    </w:r>
  </w:p>
</w:ftr>
</file>

<file path=word/footer2.xml><?xml version="1.0" encoding="utf-8"?>
<w:ftr xmlns:w="http://schemas.openxmlformats.org/wordprocessingml/2006/main" xmlns:wp="http://schemas.openxmlformats.org/drawingml/2006/wordprocessingDrawing" xmlns:a="http://schemas.openxmlformats.org/drawingml/2006/main" xmlns:pic="http://schemas.openxmlformats.org/drawingml/2006/picture" xmlns:r="http://schemas.openxmlformats.org/officeDocument/2006/relationships">
  <w:p/>
</w:ftr>
</file>

<file path=word/header1.xml><?xml version="1.0" encoding="utf-8"?>
<w:hdr xmlns:w="http://schemas.openxmlformats.org/wordprocessingml/2006/main" xmlns:wp="http://schemas.openxmlformats.org/drawingml/2006/wordprocessingDrawing" xmlns:a="http://schemas.openxmlformats.org/drawingml/2006/main" xmlns:pic="http://schemas.openxmlformats.org/drawingml/2006/picture" xmlns:r="http://schemas.openxmlformats.org/officeDocument/2006/relationships">
  <w:p>
    <w:pPr>
      <w:jc w:val="right"/>
      <w:spacing w:after="0"/>
    </w:pPr>
    <w:r>
      <w:drawing>
        <wp:inline distT="0" distB="0" distL="0" distR="0">
          <wp:extent cx="400000" cy="400000"/>
          <wp:docPr id="90" name="KopfzeilenLogo"/>
          <a:graphic xmlns:a="http://schemas.openxmlformats.org/drawingml/2006/main">
            <a:graphicData uri="http://schemas.openxmlformats.org/drawingml/2006/picture">
              <pic:pic xmlns:pic="http://schemas.openxmlformats.org/drawingml/2006/picture">
                <pic:nvPicPr>
                  <pic:cNvPr id="90" name="KopfzeilenLogo"/>
                  <pic:cNvPicPr/>
                </pic:nvPicPr>
                <pic:blipFill>
                  <a:blip xmlns:r="http://schemas.openxmlformats.org/officeDocument/2006/relationships" r:embed="rIdLogo"/>
                  <a:stretch>
                    <a:fillRect/>
                  </a:stretch>
                </pic:blipFill>
                <pic:spPr>
                  <a:xfrm>
                    <a:off x="0" y="0"/>
                    <a:ext cx="400000" cy="400000"/>
                  </a:xfrm>
                  <a:prstGeom prst="rect">
                    <a:avLst/>
                  </a:prstGeom>
                </pic:spPr>
              </pic:pic>
            </a:graphicData>
          </a:graphic>
        </wp:inline>
      </w:drawing>
    </w:r>
  </w:p>
  <w:p>
    <w:pPr>
      <w:jc w:val="right"/>
      <w:spacing w:after="0"/>
    </w:pPr>
    <w:r>
      <w:rPr>
        <w:rFonts w:ascii="Georgia" w:hAnsi="Georgia"/>
        <w:b/>
        <w:sz w:val="20"/>
        <w:color w:val="A8842C"/>
      </w:rPr>
      <w:t xml:space="preserve">ANVIL-OF-WAR</w:t>
    </w:r>
  </w:p>
</w:hdr>
</file>

<file path=word/header2.xml><?xml version="1.0" encoding="utf-8"?>
<w:hdr xmlns:w="http://schemas.openxmlformats.org/wordprocessingml/2006/main" xmlns:wp="http://schemas.openxmlformats.org/drawingml/2006/wordprocessingDrawing" xmlns:a="http://schemas.openxmlformats.org/drawingml/2006/main" xmlns:pic="http://schemas.openxmlformats.org/drawingml/2006/picture" xmlns:r="http://schemas.openxmlformats.org/officeDocument/2006/relationships">
  <w:p/>
</w:hdr>
</file>

<file path=word/numbering.xml><?xml version="1.0" encoding="utf-8"?>
<w:numbering xmlns:w="http://schemas.openxmlformats.org/wordprocessingml/2006/main">
  <w:abstractNum w:abstractNumId="1">
    <w:lvl w:ilvl="0">
      <w:start w:val="1"/>
      <w:numFmt w:val="bullet"/>
      <w:lvlText w:val="•"/>
      <w:lvlJc w:val="left"/>
      <w:pPr>
        <w:ind w:left="425" w:hanging="284"/>
      </w:pPr>
      <w:rPr>
        <w:color w:val="A8842C"/>
      </w:rPr>
    </w:lvl>
  </w:abstractNum>
  <w:num w:numId="1">
    <w:abstractNumId w:val="1"/>
  </w:num>
</w:numbering>
</file>

<file path=word/styles.xml><?xml version="1.0" encoding="utf-8"?>
<w:styles xmlns:w="http://schemas.openxmlformats.org/wordprocessingml/2006/main">
  <w:docDefaults>
    <w:rPrDefault>
      <w:rPr>
        <w:rFonts w:ascii="Calibri" w:hAnsi="Calibri" w:cs="Calibri"/>
        <w:sz w:val="21"/>
        <w:lang w:val="de-DE"/>
      </w:rPr>
    </w:rPrDefault>
  </w:docDefaults>
  <w:style w:type="table" w:styleId="ACGTable">
    <w:name w:val="ACG Table"/>
    <w:basedOn w:val="TableNormal"/>
  </w:style>
  <w:style w:type="table" w:default="1" w:styleId="TableNormal">
    <w:name w:val="Normal Table"/>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Numbering" Type="http://schemas.openxmlformats.org/officeDocument/2006/relationships/numbering" Target="numbering.xml"/><Relationship Id="rIdLogo" Type="http://schemas.openxmlformats.org/officeDocument/2006/relationships/image" Target="media/logo.jpg"/><Relationship Id="rIdHeader" Type="http://schemas.openxmlformats.org/officeDocument/2006/relationships/header" Target="header1.xml"/><Relationship Id="rIdFooter" Type="http://schemas.openxmlformats.org/officeDocument/2006/relationships/footer" Target="footer1.xml"/><Relationship Id="rIdHeaderFirst" Type="http://schemas.openxmlformats.org/officeDocument/2006/relationships/header" Target="header2.xml"/><Relationship Id="rIdFooterFirst" Type="http://schemas.openxmlformats.org/officeDocument/2006/relationships/footer" Target="footer2.xml"/></Relationships>
</file>

<file path=word/_rels/header1.xml.rels><?xml version="1.0" encoding="UTF-8" standalone="yes"?><Relationships xmlns="http://schemas.openxmlformats.org/package/2006/relationships"><Relationship Id="rIdLogo" Type="http://schemas.openxmlformats.org/officeDocument/2006/relationships/image" Target="media/logo.jpg"/></Relationships>
</file>

<file path=docProps/core.xml><?xml version="1.0" encoding="utf-8"?>
<cp:coreProperties xmlns:cp="http://schemas.openxmlformats.org/package/2006/metadata/core-properties" xmlns:dc="http://purl.org/dc/elements/1.1/" xmlns:dcterms="http://purl.org/dc/terms/" xmlns:xsi="http://www.w3.org/2001/XMLSchema-instance">
  <dc:title>Loyal unto Ashes</dc:title>
  <dc:creator>Anvil of War</dc:creator>
  <cp:keywords>HINWEIS: Der Inhalt dieser Website wurde mit Unterstützung von Künstlicher Intelligenz (KI) erstellt.</cp:keywords>
  <dcterms:created xsi:type="dcterms:W3CDTF">2026-11-08T06:59:02Z</dcterms:created>
  <dcterms:modified xsi:type="dcterms:W3CDTF">2026-11-08T06:59:02Z</dcterms:modified>
</cp:coreProperties>
</file>